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7C69CD" w:rsidRPr="00B20236" w14:paraId="07357B1C" w14:textId="7A7E6FA4" w:rsidTr="00E4669D">
        <w:tc>
          <w:tcPr>
            <w:tcW w:w="4143" w:type="pct"/>
            <w:gridSpan w:val="3"/>
          </w:tcPr>
          <w:p w14:paraId="27FF4637" w14:textId="3EBE60F6" w:rsidR="007C69CD" w:rsidRPr="00B20236" w:rsidRDefault="00E4669D" w:rsidP="004C36E0">
            <w:pPr>
              <w:pStyle w:val="Koptekst"/>
              <w:rPr>
                <w:rFonts w:ascii="Arial" w:hAnsi="Arial" w:cs="Arial"/>
                <w:sz w:val="24"/>
                <w:szCs w:val="24"/>
              </w:rPr>
            </w:pPr>
            <w:r w:rsidRPr="00B20236">
              <w:rPr>
                <w:rFonts w:ascii="Arial" w:hAnsi="Arial" w:cs="Arial"/>
                <w:b/>
                <w:sz w:val="24"/>
                <w:szCs w:val="24"/>
              </w:rPr>
              <w:t>Document management</w:t>
            </w:r>
            <w:r w:rsidR="007C69CD" w:rsidRPr="00B20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</w:tcPr>
          <w:p w14:paraId="5F8DE8F4" w14:textId="77777777" w:rsidR="007C69CD" w:rsidRPr="00B20236" w:rsidRDefault="007C69CD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69CD" w:rsidRPr="00B20236" w14:paraId="173A1BB5" w14:textId="622EB493" w:rsidTr="00E4669D">
        <w:trPr>
          <w:trHeight w:val="562"/>
        </w:trPr>
        <w:tc>
          <w:tcPr>
            <w:tcW w:w="936" w:type="pct"/>
          </w:tcPr>
          <w:p w14:paraId="33430A21" w14:textId="612D3F4F" w:rsidR="007C69CD" w:rsidRPr="00B20236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B20236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B20236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B277371" w14:textId="77777777" w:rsidR="007C69CD" w:rsidRPr="00B20236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B20236">
              <w:rPr>
                <w:rFonts w:ascii="Arial" w:hAnsi="Arial" w:cs="Arial"/>
              </w:rPr>
              <w:t xml:space="preserve">P&amp;C </w:t>
            </w:r>
          </w:p>
          <w:p w14:paraId="5AFF8264" w14:textId="01627C51" w:rsidR="00E4669D" w:rsidRPr="00B20236" w:rsidRDefault="00E4669D" w:rsidP="004C36E0">
            <w:pPr>
              <w:pStyle w:val="Koptekst"/>
              <w:rPr>
                <w:rFonts w:ascii="Arial" w:hAnsi="Arial" w:cs="Arial"/>
              </w:rPr>
            </w:pPr>
            <w:r w:rsidRPr="00B20236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3EAA3ADD" w:rsidR="007C69CD" w:rsidRPr="00B20236" w:rsidRDefault="00E4669D" w:rsidP="004C36E0">
            <w:pPr>
              <w:pStyle w:val="Koptekst"/>
              <w:rPr>
                <w:rFonts w:ascii="Arial" w:hAnsi="Arial" w:cs="Arial"/>
              </w:rPr>
            </w:pPr>
            <w:r w:rsidRPr="00B20236">
              <w:rPr>
                <w:rFonts w:ascii="Arial" w:hAnsi="Arial" w:cs="Arial"/>
              </w:rPr>
              <w:t>01.01</w:t>
            </w:r>
            <w:r w:rsidR="00991B96">
              <w:rPr>
                <w:rFonts w:ascii="Arial" w:hAnsi="Arial" w:cs="Arial"/>
              </w:rPr>
              <w:t>, 01.02</w:t>
            </w:r>
          </w:p>
        </w:tc>
      </w:tr>
      <w:tr w:rsidR="007C69CD" w:rsidRPr="00B20236" w14:paraId="5277041A" w14:textId="06BC1364" w:rsidTr="00E4669D">
        <w:tc>
          <w:tcPr>
            <w:tcW w:w="936" w:type="pct"/>
          </w:tcPr>
          <w:p w14:paraId="4C560FA8" w14:textId="17D0DD22" w:rsidR="007C69CD" w:rsidRPr="00B20236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B20236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B20236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B20236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B20236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B20236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B20236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8357438" w14:textId="17732428" w:rsidR="00761ABC" w:rsidRDefault="000A32B8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Alle documenten gerelateerd aan de GLOBALG.A.P. IFA F&amp;V-SMART certificatie worden beheerd conform de betrokken criteria uit de standaard</w:t>
      </w:r>
      <w:r w:rsidR="005C5439">
        <w:rPr>
          <w:rFonts w:ascii="Arial" w:hAnsi="Arial" w:cs="Arial"/>
        </w:rPr>
        <w:t>, en zijn beschikbaar voor de auditor.</w:t>
      </w:r>
      <w:r w:rsidR="00A71DCC">
        <w:rPr>
          <w:rFonts w:ascii="Arial" w:hAnsi="Arial" w:cs="Arial"/>
        </w:rPr>
        <w:t xml:space="preserve"> De producent kan gebruik maken van onderstaand overzicht om het document management te duiden.</w:t>
      </w:r>
    </w:p>
    <w:p w14:paraId="63DB9A4B" w14:textId="77777777" w:rsidR="00D32782" w:rsidRPr="0022396B" w:rsidRDefault="00D32782" w:rsidP="00761ABC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D32782" w:rsidRPr="0022396B" w14:paraId="7931A963" w14:textId="77777777" w:rsidTr="005A1C81">
        <w:tc>
          <w:tcPr>
            <w:tcW w:w="9062" w:type="dxa"/>
            <w:gridSpan w:val="2"/>
          </w:tcPr>
          <w:p w14:paraId="33986A45" w14:textId="42E9CFCF" w:rsidR="00D32782" w:rsidRPr="0022396B" w:rsidRDefault="00D32782" w:rsidP="0044039B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Documenten – algemeen </w:t>
            </w:r>
          </w:p>
        </w:tc>
      </w:tr>
      <w:tr w:rsidR="000A32B8" w:rsidRPr="0022396B" w14:paraId="3ED3A1ED" w14:textId="77777777" w:rsidTr="000A32B8">
        <w:tc>
          <w:tcPr>
            <w:tcW w:w="8359" w:type="dxa"/>
          </w:tcPr>
          <w:p w14:paraId="1E2EAC83" w14:textId="1DDC45E8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De producent wordt door de PO/de afnemer op de hoogte gebracht van nieuwe en/of vernieuwde documenten – via elektronische weg (extranet, e-mail, …)</w:t>
            </w:r>
          </w:p>
        </w:tc>
        <w:tc>
          <w:tcPr>
            <w:tcW w:w="703" w:type="dxa"/>
          </w:tcPr>
          <w:p w14:paraId="7F9CD63B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61B94AED" w14:textId="77777777" w:rsidTr="000A32B8">
        <w:tc>
          <w:tcPr>
            <w:tcW w:w="8359" w:type="dxa"/>
          </w:tcPr>
          <w:p w14:paraId="57F7CAC0" w14:textId="22FCFBDF" w:rsidR="000A32B8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De producent wordt door de PO/de afnemer op de hoogte gebracht van nieuwe en/of vernieuwde documenten – via niet-elektronische weg (post, persoonlijk, vergadering, …)</w:t>
            </w:r>
          </w:p>
        </w:tc>
        <w:tc>
          <w:tcPr>
            <w:tcW w:w="703" w:type="dxa"/>
          </w:tcPr>
          <w:p w14:paraId="582A16CB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5759F1EC" w14:textId="77777777" w:rsidTr="000A32B8">
        <w:tc>
          <w:tcPr>
            <w:tcW w:w="8359" w:type="dxa"/>
          </w:tcPr>
          <w:p w14:paraId="2D78B933" w14:textId="5F4F85B1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De producent ontvangt de nodige documenten van de PO/de afnemer – via elektronische weg (extranet, e-mail, …)</w:t>
            </w:r>
          </w:p>
        </w:tc>
        <w:tc>
          <w:tcPr>
            <w:tcW w:w="703" w:type="dxa"/>
          </w:tcPr>
          <w:p w14:paraId="0B65B192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28466A14" w14:textId="77777777" w:rsidTr="000A32B8">
        <w:tc>
          <w:tcPr>
            <w:tcW w:w="8359" w:type="dxa"/>
          </w:tcPr>
          <w:p w14:paraId="515B7296" w14:textId="77E5F56B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De producent ontvangt de nodige documenten van de PO/de afnemer – via niet-elektronische weg (post, persoonlijk, vergadering, …)</w:t>
            </w:r>
          </w:p>
        </w:tc>
        <w:tc>
          <w:tcPr>
            <w:tcW w:w="703" w:type="dxa"/>
          </w:tcPr>
          <w:p w14:paraId="3C47C467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560BF4A5" w14:textId="77777777" w:rsidTr="002A6AD1">
        <w:tc>
          <w:tcPr>
            <w:tcW w:w="8359" w:type="dxa"/>
          </w:tcPr>
          <w:p w14:paraId="64BDCAE1" w14:textId="1DA7CC56" w:rsidR="00797306" w:rsidRPr="0022396B" w:rsidRDefault="00797306" w:rsidP="002A6AD1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De producent staat zelf in voor het aanmaken van de nodige documenten </w:t>
            </w:r>
          </w:p>
        </w:tc>
        <w:tc>
          <w:tcPr>
            <w:tcW w:w="703" w:type="dxa"/>
          </w:tcPr>
          <w:p w14:paraId="601D106C" w14:textId="77777777" w:rsidR="00797306" w:rsidRPr="0022396B" w:rsidRDefault="00797306" w:rsidP="002A6AD1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6347DA93" w14:textId="77777777" w:rsidTr="004725A4">
        <w:tc>
          <w:tcPr>
            <w:tcW w:w="8359" w:type="dxa"/>
          </w:tcPr>
          <w:p w14:paraId="56A36A23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De producent zorgt voor een ordelijk klassement – via elektronische weg (op PC, …)</w:t>
            </w:r>
          </w:p>
        </w:tc>
        <w:tc>
          <w:tcPr>
            <w:tcW w:w="703" w:type="dxa"/>
          </w:tcPr>
          <w:p w14:paraId="562BA438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44E9253A" w14:textId="77777777" w:rsidTr="004725A4">
        <w:tc>
          <w:tcPr>
            <w:tcW w:w="8359" w:type="dxa"/>
          </w:tcPr>
          <w:p w14:paraId="56991843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De producent zorgt voor een ordelijk klassement – op papier </w:t>
            </w:r>
          </w:p>
        </w:tc>
        <w:tc>
          <w:tcPr>
            <w:tcW w:w="703" w:type="dxa"/>
          </w:tcPr>
          <w:p w14:paraId="4A449A88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1F88F221" w14:textId="77777777" w:rsidTr="000A32B8">
        <w:tc>
          <w:tcPr>
            <w:tcW w:w="8359" w:type="dxa"/>
          </w:tcPr>
          <w:p w14:paraId="1536BE15" w14:textId="620A856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Nieuwe of vernieuwde documenten worden aan het klassement toegevoegd </w:t>
            </w:r>
          </w:p>
        </w:tc>
        <w:tc>
          <w:tcPr>
            <w:tcW w:w="703" w:type="dxa"/>
          </w:tcPr>
          <w:p w14:paraId="7026E76B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41CCBE1B" w14:textId="77777777" w:rsidTr="000A32B8">
        <w:tc>
          <w:tcPr>
            <w:tcW w:w="8359" w:type="dxa"/>
          </w:tcPr>
          <w:p w14:paraId="455A2F0E" w14:textId="46413EEC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Vervallen documenten worden </w:t>
            </w:r>
            <w:r w:rsidR="000A0CE7" w:rsidRPr="0022396B">
              <w:rPr>
                <w:rFonts w:ascii="Arial" w:hAnsi="Arial" w:cs="Arial"/>
              </w:rPr>
              <w:t>als dusdanig</w:t>
            </w:r>
            <w:r w:rsidR="0098224D" w:rsidRPr="0022396B">
              <w:rPr>
                <w:rFonts w:ascii="Arial" w:hAnsi="Arial" w:cs="Arial"/>
              </w:rPr>
              <w:t xml:space="preserve"> aangeduid en/of </w:t>
            </w:r>
            <w:r w:rsidRPr="0022396B">
              <w:rPr>
                <w:rFonts w:ascii="Arial" w:hAnsi="Arial" w:cs="Arial"/>
              </w:rPr>
              <w:t>uit het klassement verwijderd</w:t>
            </w:r>
          </w:p>
        </w:tc>
        <w:tc>
          <w:tcPr>
            <w:tcW w:w="703" w:type="dxa"/>
          </w:tcPr>
          <w:p w14:paraId="2FCC0AF2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224D" w:rsidRPr="0022396B" w14:paraId="4EBCACCF" w14:textId="77777777" w:rsidTr="000A32B8">
        <w:tc>
          <w:tcPr>
            <w:tcW w:w="8359" w:type="dxa"/>
          </w:tcPr>
          <w:p w14:paraId="4350C986" w14:textId="2A1B2F55" w:rsidR="0098224D" w:rsidRPr="0022396B" w:rsidRDefault="0098224D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De documenten zijn, waar relevant, voorzien van een versienummer en paginanummers </w:t>
            </w:r>
          </w:p>
        </w:tc>
        <w:tc>
          <w:tcPr>
            <w:tcW w:w="703" w:type="dxa"/>
          </w:tcPr>
          <w:p w14:paraId="0D4FF026" w14:textId="77777777" w:rsidR="0098224D" w:rsidRPr="0022396B" w:rsidRDefault="0098224D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7B717166" w14:textId="77777777" w:rsidTr="000A32B8">
        <w:tc>
          <w:tcPr>
            <w:tcW w:w="8359" w:type="dxa"/>
          </w:tcPr>
          <w:p w14:paraId="1C7C567E" w14:textId="33E32F34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De producent past de documenten, waar nodig, aan </w:t>
            </w:r>
            <w:proofErr w:type="spellStart"/>
            <w:r w:rsidRPr="0022396B">
              <w:rPr>
                <w:rFonts w:ascii="Arial" w:hAnsi="Arial" w:cs="Arial"/>
              </w:rPr>
              <w:t>aan</w:t>
            </w:r>
            <w:proofErr w:type="spellEnd"/>
            <w:r w:rsidRPr="0022396B">
              <w:rPr>
                <w:rFonts w:ascii="Arial" w:hAnsi="Arial" w:cs="Arial"/>
              </w:rPr>
              <w:t xml:space="preserve"> de eigen bedrijfssituatie</w:t>
            </w:r>
          </w:p>
        </w:tc>
        <w:tc>
          <w:tcPr>
            <w:tcW w:w="703" w:type="dxa"/>
          </w:tcPr>
          <w:p w14:paraId="690EE4EE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00B6F0E8" w14:textId="77777777" w:rsidTr="000A32B8">
        <w:tc>
          <w:tcPr>
            <w:tcW w:w="8359" w:type="dxa"/>
          </w:tcPr>
          <w:p w14:paraId="4A184852" w14:textId="19253BE5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De producent vult de documenten, waar nodig, in volgen</w:t>
            </w:r>
            <w:r w:rsidR="0098224D" w:rsidRPr="0022396B">
              <w:rPr>
                <w:rFonts w:ascii="Arial" w:hAnsi="Arial" w:cs="Arial"/>
              </w:rPr>
              <w:t>s</w:t>
            </w:r>
            <w:r w:rsidRPr="0022396B">
              <w:rPr>
                <w:rFonts w:ascii="Arial" w:hAnsi="Arial" w:cs="Arial"/>
              </w:rPr>
              <w:t xml:space="preserve"> de eigen bedrijfssituatie</w:t>
            </w:r>
          </w:p>
        </w:tc>
        <w:tc>
          <w:tcPr>
            <w:tcW w:w="703" w:type="dxa"/>
          </w:tcPr>
          <w:p w14:paraId="209B4BC8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600388D4" w14:textId="77777777" w:rsidTr="000A32B8">
        <w:tc>
          <w:tcPr>
            <w:tcW w:w="8359" w:type="dxa"/>
          </w:tcPr>
          <w:p w14:paraId="739EC902" w14:textId="22FC6EB4" w:rsidR="000A32B8" w:rsidRPr="0022396B" w:rsidRDefault="0098224D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De producent voorziet de documenten van een datum, bij elke opmaak/wijziging/aanvulling</w:t>
            </w:r>
          </w:p>
        </w:tc>
        <w:tc>
          <w:tcPr>
            <w:tcW w:w="703" w:type="dxa"/>
          </w:tcPr>
          <w:p w14:paraId="2D9248E7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0CE7" w:rsidRPr="0022396B" w14:paraId="21512B0C" w14:textId="77777777" w:rsidTr="000A32B8">
        <w:tc>
          <w:tcPr>
            <w:tcW w:w="8359" w:type="dxa"/>
          </w:tcPr>
          <w:p w14:paraId="57BE7F00" w14:textId="48E96D48" w:rsidR="000A0CE7" w:rsidRPr="0022396B" w:rsidRDefault="000A0CE7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Voor hun communicatie, worden de documenten, waar nodig, ter beschikking gesteld aan en goedgekeurd door de betrokken medewerker(s)</w:t>
            </w:r>
          </w:p>
        </w:tc>
        <w:tc>
          <w:tcPr>
            <w:tcW w:w="703" w:type="dxa"/>
          </w:tcPr>
          <w:p w14:paraId="421B030F" w14:textId="77777777" w:rsidR="000A0CE7" w:rsidRPr="0022396B" w:rsidRDefault="000A0CE7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35688F5D" w14:textId="77777777" w:rsidTr="000A32B8">
        <w:tc>
          <w:tcPr>
            <w:tcW w:w="8359" w:type="dxa"/>
          </w:tcPr>
          <w:p w14:paraId="158F722D" w14:textId="4F11B473" w:rsidR="000A32B8" w:rsidRPr="0022396B" w:rsidRDefault="0098224D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De producent stelt documenten ter beschikking van de werknemers, zoals nodig – vb. overhandigen papieren kopij, beschikbaar stellen in gemeenschappelijke ruimte, … </w:t>
            </w:r>
          </w:p>
        </w:tc>
        <w:tc>
          <w:tcPr>
            <w:tcW w:w="703" w:type="dxa"/>
          </w:tcPr>
          <w:p w14:paraId="3B1BD288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D32782" w:rsidRPr="0022396B" w14:paraId="135AD1E3" w14:textId="77777777" w:rsidTr="000A32B8">
        <w:tc>
          <w:tcPr>
            <w:tcW w:w="8359" w:type="dxa"/>
          </w:tcPr>
          <w:p w14:paraId="5A485A92" w14:textId="4D676FD4" w:rsidR="00D32782" w:rsidRPr="0022396B" w:rsidRDefault="005C5439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…</w:t>
            </w:r>
          </w:p>
        </w:tc>
        <w:tc>
          <w:tcPr>
            <w:tcW w:w="703" w:type="dxa"/>
          </w:tcPr>
          <w:p w14:paraId="24C77832" w14:textId="77777777" w:rsidR="00D32782" w:rsidRPr="0022396B" w:rsidRDefault="00D3278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D32782" w:rsidRPr="0022396B" w14:paraId="4CBB3865" w14:textId="77777777" w:rsidTr="000A32B8">
        <w:tc>
          <w:tcPr>
            <w:tcW w:w="8359" w:type="dxa"/>
          </w:tcPr>
          <w:p w14:paraId="435F514E" w14:textId="3EE471B7" w:rsidR="00D32782" w:rsidRPr="0022396B" w:rsidRDefault="005C5439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>…</w:t>
            </w:r>
          </w:p>
        </w:tc>
        <w:tc>
          <w:tcPr>
            <w:tcW w:w="703" w:type="dxa"/>
          </w:tcPr>
          <w:p w14:paraId="3ABF01F7" w14:textId="77777777" w:rsidR="00D32782" w:rsidRPr="0022396B" w:rsidRDefault="00D3278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:rsidRPr="0022396B" w14:paraId="41E5D19E" w14:textId="77777777" w:rsidTr="00221E62">
        <w:tc>
          <w:tcPr>
            <w:tcW w:w="9062" w:type="dxa"/>
            <w:gridSpan w:val="2"/>
          </w:tcPr>
          <w:p w14:paraId="3430742E" w14:textId="3BEBA0D2" w:rsidR="005C5439" w:rsidRPr="0022396B" w:rsidRDefault="005C5439" w:rsidP="00761ABC">
            <w:pPr>
              <w:suppressAutoHyphens/>
              <w:rPr>
                <w:rFonts w:ascii="Arial" w:hAnsi="Arial" w:cs="Arial"/>
              </w:rPr>
            </w:pPr>
            <w:r w:rsidRPr="0022396B">
              <w:rPr>
                <w:rFonts w:ascii="Arial" w:hAnsi="Arial" w:cs="Arial"/>
              </w:rPr>
              <w:t xml:space="preserve">Registraties </w:t>
            </w:r>
          </w:p>
        </w:tc>
      </w:tr>
      <w:tr w:rsidR="00E817B5" w14:paraId="01F76EA4" w14:textId="77777777" w:rsidTr="00E24E11">
        <w:tc>
          <w:tcPr>
            <w:tcW w:w="8359" w:type="dxa"/>
          </w:tcPr>
          <w:p w14:paraId="39B10462" w14:textId="0968237E" w:rsidR="00E817B5" w:rsidRDefault="00E817B5" w:rsidP="00E24E1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registraties worden bijgehouden in vertrouwde systemen – zoals Care4Growing</w:t>
            </w:r>
          </w:p>
        </w:tc>
        <w:tc>
          <w:tcPr>
            <w:tcW w:w="703" w:type="dxa"/>
          </w:tcPr>
          <w:p w14:paraId="5701FA98" w14:textId="77777777" w:rsidR="00E817B5" w:rsidRDefault="00E817B5" w:rsidP="00E24E11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71CDBC45" w14:textId="77777777" w:rsidTr="000A32B8">
        <w:tc>
          <w:tcPr>
            <w:tcW w:w="8359" w:type="dxa"/>
          </w:tcPr>
          <w:p w14:paraId="7064A678" w14:textId="13CCA19D" w:rsidR="005C5439" w:rsidRDefault="005C5439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registraties worden veilig bewaard (vb. </w:t>
            </w:r>
            <w:r w:rsidR="00991B96">
              <w:rPr>
                <w:rFonts w:ascii="Arial" w:hAnsi="Arial" w:cs="Arial"/>
              </w:rPr>
              <w:t xml:space="preserve">in bureauruimte, </w:t>
            </w:r>
            <w:r>
              <w:rPr>
                <w:rFonts w:ascii="Arial" w:hAnsi="Arial" w:cs="Arial"/>
              </w:rPr>
              <w:t xml:space="preserve">in kast, op PC) en zijn eenvoudig beschikbaar </w:t>
            </w:r>
          </w:p>
        </w:tc>
        <w:tc>
          <w:tcPr>
            <w:tcW w:w="703" w:type="dxa"/>
          </w:tcPr>
          <w:p w14:paraId="60532C0C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2BFAFF74" w14:textId="77777777" w:rsidTr="000A32B8">
        <w:tc>
          <w:tcPr>
            <w:tcW w:w="8359" w:type="dxa"/>
          </w:tcPr>
          <w:p w14:paraId="04627BAF" w14:textId="401EE2D3" w:rsidR="005C5439" w:rsidRDefault="005C5439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registraties worden up-to-date gehouden</w:t>
            </w:r>
          </w:p>
        </w:tc>
        <w:tc>
          <w:tcPr>
            <w:tcW w:w="703" w:type="dxa"/>
          </w:tcPr>
          <w:p w14:paraId="512FA5DD" w14:textId="7BF09975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614C8861" w14:textId="77777777" w:rsidTr="000A32B8">
        <w:tc>
          <w:tcPr>
            <w:tcW w:w="8359" w:type="dxa"/>
          </w:tcPr>
          <w:p w14:paraId="3F621D4C" w14:textId="4EF4B2A1" w:rsidR="005C5439" w:rsidRDefault="00991B9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geval van elektronische registraties zijn deze geldig en is een back-up voorzien </w:t>
            </w:r>
          </w:p>
        </w:tc>
        <w:tc>
          <w:tcPr>
            <w:tcW w:w="703" w:type="dxa"/>
          </w:tcPr>
          <w:p w14:paraId="320ABEF5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6093712B" w14:textId="77777777" w:rsidTr="000A32B8">
        <w:tc>
          <w:tcPr>
            <w:tcW w:w="8359" w:type="dxa"/>
          </w:tcPr>
          <w:p w14:paraId="51F5276B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registraties worden minstens twee jaar bijgehouden (opmerking: minstens vijf jaar in geval van gebruik voor Autocontrole en/of Vegaplan) of</w:t>
            </w:r>
          </w:p>
          <w:p w14:paraId="7DF85C48" w14:textId="717532EF" w:rsidR="005C5439" w:rsidRDefault="00991B9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C5439">
              <w:rPr>
                <w:rFonts w:ascii="Arial" w:hAnsi="Arial" w:cs="Arial"/>
              </w:rPr>
              <w:t xml:space="preserve">ij een eerste audit zijn de registraties beschikbaar </w:t>
            </w:r>
            <w:r>
              <w:rPr>
                <w:rFonts w:ascii="Arial" w:hAnsi="Arial" w:cs="Arial"/>
              </w:rPr>
              <w:t xml:space="preserve">vanaf ten minste drie maand voor de audit of vanaf de dag van aanmelding bij GLOBALG.A.P. – langste periode telt </w:t>
            </w:r>
          </w:p>
        </w:tc>
        <w:tc>
          <w:tcPr>
            <w:tcW w:w="703" w:type="dxa"/>
          </w:tcPr>
          <w:p w14:paraId="3BF9287F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4C32515D" w14:textId="77777777" w:rsidTr="000A32B8">
        <w:tc>
          <w:tcPr>
            <w:tcW w:w="8359" w:type="dxa"/>
          </w:tcPr>
          <w:p w14:paraId="53B4D5C0" w14:textId="168BA75F" w:rsidR="005C5439" w:rsidRDefault="00991B9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703" w:type="dxa"/>
          </w:tcPr>
          <w:p w14:paraId="5B790143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91B96" w14:paraId="35D0DD3F" w14:textId="77777777" w:rsidTr="000A32B8">
        <w:tc>
          <w:tcPr>
            <w:tcW w:w="8359" w:type="dxa"/>
          </w:tcPr>
          <w:p w14:paraId="77F1751C" w14:textId="0118A2E5" w:rsidR="00991B96" w:rsidRDefault="00991B9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703" w:type="dxa"/>
          </w:tcPr>
          <w:p w14:paraId="05269FE6" w14:textId="77777777" w:rsidR="00991B96" w:rsidRDefault="00991B9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91B96" w14:paraId="09741A3B" w14:textId="77777777" w:rsidTr="000A32B8">
        <w:tc>
          <w:tcPr>
            <w:tcW w:w="8359" w:type="dxa"/>
          </w:tcPr>
          <w:p w14:paraId="6ECEE27E" w14:textId="5861725B" w:rsidR="00991B96" w:rsidRDefault="00991B9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703" w:type="dxa"/>
          </w:tcPr>
          <w:p w14:paraId="11D3E7E6" w14:textId="77777777" w:rsidR="00991B96" w:rsidRDefault="00991B96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7367564" w14:textId="13750FB7" w:rsidR="000A32B8" w:rsidRDefault="000A32B8" w:rsidP="00761ABC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6EEF0D66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862CCA">
      <w:rPr>
        <w:rFonts w:ascii="Arial" w:hAnsi="Arial" w:cs="Arial"/>
        <w:sz w:val="16"/>
        <w:szCs w:val="16"/>
      </w:rPr>
      <w:t>01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862CCA">
      <w:rPr>
        <w:rFonts w:ascii="Arial" w:hAnsi="Arial" w:cs="Arial"/>
        <w:sz w:val="16"/>
        <w:szCs w:val="16"/>
      </w:rPr>
      <w:t>01</w:t>
    </w:r>
    <w:r w:rsidRPr="002F43F4">
      <w:rPr>
        <w:rFonts w:ascii="Arial" w:hAnsi="Arial" w:cs="Arial"/>
        <w:sz w:val="16"/>
        <w:szCs w:val="16"/>
      </w:rPr>
      <w:t>/</w:t>
    </w:r>
    <w:r w:rsidR="00862CCA">
      <w:rPr>
        <w:rFonts w:ascii="Arial" w:hAnsi="Arial" w:cs="Arial"/>
        <w:sz w:val="16"/>
        <w:szCs w:val="16"/>
      </w:rPr>
      <w:t>09</w:t>
    </w:r>
    <w:r w:rsidRPr="002F43F4">
      <w:rPr>
        <w:rFonts w:ascii="Arial" w:hAnsi="Arial" w:cs="Arial"/>
        <w:sz w:val="16"/>
        <w:szCs w:val="16"/>
      </w:rPr>
      <w:t>/202</w:t>
    </w:r>
    <w:r w:rsidR="00862CCA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20476">
    <w:abstractNumId w:val="9"/>
  </w:num>
  <w:num w:numId="2" w16cid:durableId="1257054282">
    <w:abstractNumId w:val="13"/>
  </w:num>
  <w:num w:numId="3" w16cid:durableId="1459106543">
    <w:abstractNumId w:val="5"/>
  </w:num>
  <w:num w:numId="4" w16cid:durableId="1870485256">
    <w:abstractNumId w:val="26"/>
  </w:num>
  <w:num w:numId="5" w16cid:durableId="1050418615">
    <w:abstractNumId w:val="18"/>
  </w:num>
  <w:num w:numId="6" w16cid:durableId="715935387">
    <w:abstractNumId w:val="27"/>
  </w:num>
  <w:num w:numId="7" w16cid:durableId="497235305">
    <w:abstractNumId w:val="24"/>
  </w:num>
  <w:num w:numId="8" w16cid:durableId="1047799877">
    <w:abstractNumId w:val="10"/>
  </w:num>
  <w:num w:numId="9" w16cid:durableId="2006586994">
    <w:abstractNumId w:val="12"/>
  </w:num>
  <w:num w:numId="10" w16cid:durableId="511142815">
    <w:abstractNumId w:val="8"/>
  </w:num>
  <w:num w:numId="11" w16cid:durableId="1378777310">
    <w:abstractNumId w:val="19"/>
  </w:num>
  <w:num w:numId="12" w16cid:durableId="311638432">
    <w:abstractNumId w:val="7"/>
  </w:num>
  <w:num w:numId="13" w16cid:durableId="1997953333">
    <w:abstractNumId w:val="22"/>
  </w:num>
  <w:num w:numId="14" w16cid:durableId="1917547670">
    <w:abstractNumId w:val="0"/>
  </w:num>
  <w:num w:numId="15" w16cid:durableId="725026467">
    <w:abstractNumId w:val="3"/>
  </w:num>
  <w:num w:numId="16" w16cid:durableId="1415708971">
    <w:abstractNumId w:val="11"/>
  </w:num>
  <w:num w:numId="17" w16cid:durableId="592739559">
    <w:abstractNumId w:val="4"/>
  </w:num>
  <w:num w:numId="18" w16cid:durableId="876966994">
    <w:abstractNumId w:val="17"/>
  </w:num>
  <w:num w:numId="19" w16cid:durableId="2126734045">
    <w:abstractNumId w:val="15"/>
  </w:num>
  <w:num w:numId="20" w16cid:durableId="2104572868">
    <w:abstractNumId w:val="21"/>
  </w:num>
  <w:num w:numId="21" w16cid:durableId="185676433">
    <w:abstractNumId w:val="6"/>
  </w:num>
  <w:num w:numId="22" w16cid:durableId="1054933683">
    <w:abstractNumId w:val="1"/>
  </w:num>
  <w:num w:numId="23" w16cid:durableId="1720855202">
    <w:abstractNumId w:val="23"/>
  </w:num>
  <w:num w:numId="24" w16cid:durableId="145512701">
    <w:abstractNumId w:val="20"/>
  </w:num>
  <w:num w:numId="25" w16cid:durableId="866217132">
    <w:abstractNumId w:val="16"/>
  </w:num>
  <w:num w:numId="26" w16cid:durableId="1737316134">
    <w:abstractNumId w:val="29"/>
  </w:num>
  <w:num w:numId="27" w16cid:durableId="207499552">
    <w:abstractNumId w:val="2"/>
  </w:num>
  <w:num w:numId="28" w16cid:durableId="914319633">
    <w:abstractNumId w:val="28"/>
  </w:num>
  <w:num w:numId="29" w16cid:durableId="1414011890">
    <w:abstractNumId w:val="14"/>
  </w:num>
  <w:num w:numId="30" w16cid:durableId="1551475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5CF2"/>
    <w:rsid w:val="000260ED"/>
    <w:rsid w:val="0004474F"/>
    <w:rsid w:val="00055571"/>
    <w:rsid w:val="00071C13"/>
    <w:rsid w:val="000A0CE7"/>
    <w:rsid w:val="000A32B8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2396B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62940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704AF"/>
    <w:rsid w:val="0059087A"/>
    <w:rsid w:val="005C3BD6"/>
    <w:rsid w:val="005C5439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97306"/>
    <w:rsid w:val="007C69CD"/>
    <w:rsid w:val="007E3140"/>
    <w:rsid w:val="00807C89"/>
    <w:rsid w:val="00862CCA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8224D"/>
    <w:rsid w:val="00991B96"/>
    <w:rsid w:val="009A7886"/>
    <w:rsid w:val="009C5F73"/>
    <w:rsid w:val="009D5EA2"/>
    <w:rsid w:val="009E103F"/>
    <w:rsid w:val="009F7E10"/>
    <w:rsid w:val="00A17D29"/>
    <w:rsid w:val="00A249FF"/>
    <w:rsid w:val="00A32F99"/>
    <w:rsid w:val="00A71DCC"/>
    <w:rsid w:val="00A948C4"/>
    <w:rsid w:val="00AD280D"/>
    <w:rsid w:val="00B065B6"/>
    <w:rsid w:val="00B20236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CF26C1"/>
    <w:rsid w:val="00D04636"/>
    <w:rsid w:val="00D222D6"/>
    <w:rsid w:val="00D30835"/>
    <w:rsid w:val="00D32782"/>
    <w:rsid w:val="00D503A4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4669D"/>
    <w:rsid w:val="00E548EC"/>
    <w:rsid w:val="00E817B5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5</cp:revision>
  <cp:lastPrinted>2015-10-15T11:54:00Z</cp:lastPrinted>
  <dcterms:created xsi:type="dcterms:W3CDTF">2023-07-18T06:33:00Z</dcterms:created>
  <dcterms:modified xsi:type="dcterms:W3CDTF">2023-07-20T13:03:00Z</dcterms:modified>
</cp:coreProperties>
</file>