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B295DE6" w:rsidR="00544BC5" w:rsidRDefault="006C1A82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Gaz à effet de serre et changement climatique </w:t>
            </w:r>
          </w:p>
        </w:tc>
      </w:tr>
      <w:tr w:rsidR="007C69CD" w:rsidRPr="006E1F54" w14:paraId="173A1BB5" w14:textId="622EB493" w:rsidTr="00530677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16AF4A6D" w:rsidR="007C69CD" w:rsidRPr="006E1F54" w:rsidRDefault="00237184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24.01, 24.02, 24.03</w:t>
            </w:r>
          </w:p>
        </w:tc>
      </w:tr>
      <w:tr w:rsidR="007C69CD" w:rsidRPr="006E1F54" w14:paraId="5277041A" w14:textId="06BC1364" w:rsidTr="00530677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5C0A4E99" w14:textId="77777777" w:rsidR="007B5D35" w:rsidRDefault="007B5D35" w:rsidP="007B5D35">
      <w:pPr>
        <w:suppressAutoHyphens/>
        <w:rPr>
          <w:rFonts w:ascii="Arial" w:hAnsi="Arial" w:cs="Arial"/>
        </w:rPr>
      </w:pPr>
    </w:p>
    <w:p w14:paraId="133AC48A" w14:textId="77777777" w:rsidR="00530677" w:rsidRDefault="007B5D35" w:rsidP="007B5D35">
      <w:pPr>
        <w:suppressAutoHyphens/>
        <w:jc w:val="right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Remarque : pour plus d'informations, voir également les directives de GLOBALG.A.P. ; </w:t>
      </w:r>
    </w:p>
    <w:p w14:paraId="127634BA" w14:textId="3BC5181C" w:rsidR="007B5D35" w:rsidRPr="006370E4" w:rsidRDefault="007B5D35" w:rsidP="007B5D35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 </w:t>
      </w:r>
      <w:r>
        <w:rPr>
          <w:rFonts w:ascii="Arial" w:hAnsi="Arial" w:cs="Arial"/>
          <w:color w:val="808080" w:themeColor="background1" w:themeShade="80"/>
          <w:lang w:val="fr-BE"/>
        </w:rPr>
        <w:t xml:space="preserve">texte en gris </w:t>
      </w:r>
      <w:r>
        <w:rPr>
          <w:rFonts w:ascii="Arial" w:hAnsi="Arial" w:cs="Arial"/>
          <w:lang w:val="fr-BE"/>
        </w:rPr>
        <w:t>constitue une recommandation</w:t>
      </w:r>
    </w:p>
    <w:p w14:paraId="5BD181AF" w14:textId="38F16CBB" w:rsidR="007B5D35" w:rsidRDefault="007B5D35" w:rsidP="007B5D35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370E4" w:rsidRPr="006370E4" w14:paraId="3064CA46" w14:textId="77777777" w:rsidTr="00FE6C36">
        <w:tc>
          <w:tcPr>
            <w:tcW w:w="704" w:type="dxa"/>
          </w:tcPr>
          <w:p w14:paraId="6B6B7CFA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15A685B9" w14:textId="11E24C43" w:rsidR="008B7D7E" w:rsidRPr="006370E4" w:rsidRDefault="008B7D7E" w:rsidP="008B7D7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 xml:space="preserve">L'exploitation contribue à la réduction des émissions de gaz à effet de serre ; le producteur en est conscient et sait comment les pratiques de l'exploitation peuvent y contribuer, par exemple en ce qui concerne l'énergie (réduction de la consommation d'énergie, augmentation de l'efficacité énergétique, utilisation de sources d'énergie renouvelables – voir DOC 27), les engrais (voir PC 28 et 29) et les déchets alimentaires (voir PC 25.09) </w:t>
            </w:r>
          </w:p>
        </w:tc>
      </w:tr>
      <w:tr w:rsidR="006370E4" w:rsidRPr="006370E4" w14:paraId="31A74A16" w14:textId="77777777" w:rsidTr="004D440D">
        <w:tc>
          <w:tcPr>
            <w:tcW w:w="9062" w:type="dxa"/>
            <w:gridSpan w:val="2"/>
          </w:tcPr>
          <w:p w14:paraId="03BE2BE9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370E4" w:rsidRPr="006370E4" w14:paraId="0550D870" w14:textId="77777777" w:rsidTr="00FE6C36">
        <w:tc>
          <w:tcPr>
            <w:tcW w:w="704" w:type="dxa"/>
          </w:tcPr>
          <w:p w14:paraId="79D1E98F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04F9FC4D" w14:textId="5FDDADE2" w:rsidR="008B7D7E" w:rsidRPr="006370E4" w:rsidRDefault="008B7D7E" w:rsidP="008B7D7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L'exploitation contribue à l'élimination des gaz à effet de serre dans l'atmosphère ; le producteur en est conscient et sait comment les pratiques de l'exploitation peuvent y contribuer, par exemple en ce qui concerne la santé des sols – voir DOC 27</w:t>
            </w:r>
          </w:p>
        </w:tc>
      </w:tr>
      <w:tr w:rsidR="006370E4" w:rsidRPr="006370E4" w14:paraId="0F8AAB67" w14:textId="77777777" w:rsidTr="00B31F6D">
        <w:tc>
          <w:tcPr>
            <w:tcW w:w="9062" w:type="dxa"/>
            <w:gridSpan w:val="2"/>
          </w:tcPr>
          <w:p w14:paraId="59CC594C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370E4" w:rsidRPr="006370E4" w14:paraId="4959435E" w14:textId="77777777" w:rsidTr="00FE6C36">
        <w:tc>
          <w:tcPr>
            <w:tcW w:w="704" w:type="dxa"/>
          </w:tcPr>
          <w:p w14:paraId="55DE4C62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4C252DC2" w14:textId="06068658" w:rsidR="008B7D7E" w:rsidRPr="006370E4" w:rsidRDefault="008B7D7E" w:rsidP="008B7D7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 xml:space="preserve">L'exploitation rend possible la formation de carbone organique dans les sols et la biomasse par : </w:t>
            </w:r>
          </w:p>
        </w:tc>
      </w:tr>
      <w:tr w:rsidR="006370E4" w:rsidRPr="006370E4" w14:paraId="1B15B8EA" w14:textId="77777777" w:rsidTr="00FE6C36">
        <w:tc>
          <w:tcPr>
            <w:tcW w:w="704" w:type="dxa"/>
          </w:tcPr>
          <w:p w14:paraId="007A4977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6E610550" w14:textId="0B9B1EDD" w:rsidR="008B7D7E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la gestion des résidus de culture (enfouissement des résidus, semis sur résidus)</w:t>
            </w:r>
          </w:p>
        </w:tc>
      </w:tr>
      <w:tr w:rsidR="006370E4" w:rsidRPr="006370E4" w14:paraId="4331CC4D" w14:textId="77777777" w:rsidTr="00FE6C36">
        <w:tc>
          <w:tcPr>
            <w:tcW w:w="704" w:type="dxa"/>
          </w:tcPr>
          <w:p w14:paraId="2B63A8C6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294E7D83" w14:textId="4A1938C8" w:rsidR="008B7D7E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l'utilisation de plantes de couverture dans la rotation des cultures, la diversification de la rotation des cultures, le travail minimal ou nul des sols</w:t>
            </w:r>
          </w:p>
        </w:tc>
      </w:tr>
      <w:tr w:rsidR="006370E4" w:rsidRPr="006370E4" w14:paraId="0E5043DC" w14:textId="77777777" w:rsidTr="00FE6C36">
        <w:tc>
          <w:tcPr>
            <w:tcW w:w="704" w:type="dxa"/>
          </w:tcPr>
          <w:p w14:paraId="2517A6BF" w14:textId="77777777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1764BA6A" w14:textId="53076FEA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la diminution de la libération de nutriments dans la gestion des engrais</w:t>
            </w:r>
          </w:p>
        </w:tc>
      </w:tr>
      <w:tr w:rsidR="006370E4" w:rsidRPr="006370E4" w14:paraId="08F54FAB" w14:textId="77777777" w:rsidTr="00FE6C36">
        <w:tc>
          <w:tcPr>
            <w:tcW w:w="704" w:type="dxa"/>
          </w:tcPr>
          <w:p w14:paraId="0004C58F" w14:textId="77777777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521BA0D1" w14:textId="3194729E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la restauration des écosystèmes – voir PC 22.03</w:t>
            </w:r>
          </w:p>
        </w:tc>
      </w:tr>
      <w:tr w:rsidR="006370E4" w:rsidRPr="006370E4" w14:paraId="1F743ED4" w14:textId="77777777" w:rsidTr="00FE6C36">
        <w:tc>
          <w:tcPr>
            <w:tcW w:w="704" w:type="dxa"/>
          </w:tcPr>
          <w:p w14:paraId="097BD422" w14:textId="77777777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6E85D61E" w14:textId="59D5D40E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l'agriculture carbonée et les pratiques visant à capturer le carbone dans les sols et la biomasse</w:t>
            </w:r>
          </w:p>
        </w:tc>
      </w:tr>
      <w:tr w:rsidR="006370E4" w:rsidRPr="006370E4" w14:paraId="1CBFE257" w14:textId="77777777" w:rsidTr="00FE6C36">
        <w:tc>
          <w:tcPr>
            <w:tcW w:w="704" w:type="dxa"/>
          </w:tcPr>
          <w:p w14:paraId="49F11519" w14:textId="77777777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40C33B1F" w14:textId="6B5CA833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la participation à des initiatives externes, par exemple CLAIRE</w:t>
            </w:r>
          </w:p>
        </w:tc>
      </w:tr>
      <w:tr w:rsidR="006370E4" w:rsidRPr="006370E4" w14:paraId="25C05516" w14:textId="77777777" w:rsidTr="00FE6C36">
        <w:tc>
          <w:tcPr>
            <w:tcW w:w="704" w:type="dxa"/>
          </w:tcPr>
          <w:p w14:paraId="02AADF36" w14:textId="732BE8DD" w:rsidR="00660B36" w:rsidRPr="006370E4" w:rsidRDefault="00660B36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7041C21A" w14:textId="0BEA1833" w:rsidR="00660B36" w:rsidRPr="006370E4" w:rsidRDefault="00660B36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autres :</w:t>
            </w:r>
          </w:p>
        </w:tc>
      </w:tr>
      <w:tr w:rsidR="006370E4" w:rsidRPr="006370E4" w14:paraId="6BD1A42D" w14:textId="77777777" w:rsidTr="00C853F7">
        <w:tc>
          <w:tcPr>
            <w:tcW w:w="9062" w:type="dxa"/>
            <w:gridSpan w:val="2"/>
          </w:tcPr>
          <w:p w14:paraId="2F2CFC23" w14:textId="16BA97D5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6370E4" w:rsidRPr="006370E4" w14:paraId="6949C075" w14:textId="77777777" w:rsidTr="00FE6C36">
        <w:tc>
          <w:tcPr>
            <w:tcW w:w="704" w:type="dxa"/>
          </w:tcPr>
          <w:p w14:paraId="68778B46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4D26EC72" w14:textId="0E1D2610" w:rsidR="008B7D7E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La contribution de l'exploitation à la réduction et à l'élimination des gaz à effet de serre (GES) de l'atmosphère est étayée par des mesures.</w:t>
            </w:r>
          </w:p>
        </w:tc>
      </w:tr>
      <w:tr w:rsidR="006370E4" w:rsidRPr="006370E4" w14:paraId="7494095D" w14:textId="77777777" w:rsidTr="00FE6C36">
        <w:tc>
          <w:tcPr>
            <w:tcW w:w="704" w:type="dxa"/>
          </w:tcPr>
          <w:p w14:paraId="0C843734" w14:textId="77777777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47467219" w14:textId="24C005A4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Équivalent GES (équivalent CO</w:t>
            </w:r>
            <w:r>
              <w:rPr>
                <w:rFonts w:ascii="Arial" w:hAnsi="Arial" w:cs="Arial"/>
                <w:color w:val="808080" w:themeColor="background1" w:themeShade="80"/>
                <w:vertAlign w:val="subscript"/>
                <w:lang w:val="fr-BE"/>
              </w:rPr>
              <w:t>2</w:t>
            </w: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) pour l'énergie – voir DOC 27</w:t>
            </w:r>
          </w:p>
        </w:tc>
      </w:tr>
      <w:tr w:rsidR="006370E4" w:rsidRPr="006370E4" w14:paraId="3DC74DFF" w14:textId="77777777" w:rsidTr="00FE6C36">
        <w:tc>
          <w:tcPr>
            <w:tcW w:w="704" w:type="dxa"/>
          </w:tcPr>
          <w:p w14:paraId="428780E4" w14:textId="77777777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63689274" w14:textId="600FC2AC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Équivalent GES (équivalent CO</w:t>
            </w:r>
            <w:r>
              <w:rPr>
                <w:rFonts w:ascii="Arial" w:hAnsi="Arial" w:cs="Arial"/>
                <w:color w:val="808080" w:themeColor="background1" w:themeShade="80"/>
                <w:vertAlign w:val="subscript"/>
                <w:lang w:val="fr-BE"/>
              </w:rPr>
              <w:t>2</w:t>
            </w: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>) pour la production totale (cycle)</w:t>
            </w:r>
          </w:p>
        </w:tc>
      </w:tr>
      <w:tr w:rsidR="006370E4" w:rsidRPr="006370E4" w14:paraId="6BFDFC4F" w14:textId="77777777" w:rsidTr="00FE6C36">
        <w:tc>
          <w:tcPr>
            <w:tcW w:w="704" w:type="dxa"/>
          </w:tcPr>
          <w:p w14:paraId="50F7F254" w14:textId="77777777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531872EE" w14:textId="763F06CD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val="fr-BE"/>
              </w:rPr>
              <w:t xml:space="preserve">Calculs spécifiques à l'aide d'outils, par exemple CoolFarm, Klimrek-T </w:t>
            </w:r>
          </w:p>
        </w:tc>
      </w:tr>
      <w:tr w:rsidR="006370E4" w:rsidRPr="006370E4" w14:paraId="196F0349" w14:textId="77777777" w:rsidTr="00FE6C36">
        <w:tc>
          <w:tcPr>
            <w:tcW w:w="704" w:type="dxa"/>
          </w:tcPr>
          <w:p w14:paraId="716374A7" w14:textId="77777777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0F7F15AB" w14:textId="77777777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20E523F1" w14:textId="271C0022" w:rsidR="008B7D7E" w:rsidRDefault="008B7D7E" w:rsidP="007B5D35">
      <w:pPr>
        <w:suppressAutoHyphens/>
        <w:rPr>
          <w:rFonts w:ascii="Arial" w:hAnsi="Arial" w:cs="Arial"/>
        </w:rPr>
      </w:pPr>
    </w:p>
    <w:p w14:paraId="783DE440" w14:textId="796A6B86" w:rsidR="00FE6C36" w:rsidRDefault="00FE6C36" w:rsidP="007B5D35">
      <w:pPr>
        <w:suppressAutoHyphens/>
        <w:rPr>
          <w:rFonts w:ascii="Arial" w:hAnsi="Arial" w:cs="Arial"/>
        </w:rPr>
      </w:pPr>
    </w:p>
    <w:p w14:paraId="02ABF2B0" w14:textId="1989F8EC" w:rsidR="00FE6C36" w:rsidRDefault="00FE6C36" w:rsidP="007B5D35">
      <w:pPr>
        <w:suppressAutoHyphens/>
        <w:rPr>
          <w:rFonts w:ascii="Arial" w:hAnsi="Arial" w:cs="Arial"/>
        </w:rPr>
      </w:pPr>
    </w:p>
    <w:p w14:paraId="3EC3B438" w14:textId="6EE6BDC1" w:rsidR="00AF670A" w:rsidRDefault="00AF670A" w:rsidP="00AF670A">
      <w:pPr>
        <w:suppressAutoHyphens/>
        <w:rPr>
          <w:rFonts w:ascii="Arial" w:hAnsi="Arial" w:cs="Arial"/>
        </w:rPr>
      </w:pPr>
    </w:p>
    <w:p w14:paraId="0294F32F" w14:textId="2741F31F" w:rsidR="00AF670A" w:rsidRDefault="00AF670A" w:rsidP="00AF670A">
      <w:pPr>
        <w:suppressAutoHyphens/>
        <w:rPr>
          <w:rFonts w:ascii="Arial" w:hAnsi="Arial" w:cs="Arial"/>
        </w:rPr>
      </w:pPr>
    </w:p>
    <w:p w14:paraId="2818A3B6" w14:textId="544D577B" w:rsidR="00AF670A" w:rsidRDefault="00AF670A" w:rsidP="00AF670A">
      <w:pPr>
        <w:suppressAutoHyphens/>
        <w:rPr>
          <w:rFonts w:ascii="Arial" w:hAnsi="Arial" w:cs="Arial"/>
        </w:rPr>
      </w:pPr>
    </w:p>
    <w:p w14:paraId="7F23362A" w14:textId="77777777" w:rsidR="00AF670A" w:rsidRDefault="00AF670A" w:rsidP="00AF67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AF670A" w14:paraId="059E5A7C" w14:textId="77777777" w:rsidTr="00A54F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F4C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757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</w:tr>
      <w:tr w:rsidR="00AF670A" w14:paraId="25EE6280" w14:textId="77777777" w:rsidTr="00A54F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EB2A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2DE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</w:tr>
      <w:tr w:rsidR="00AF670A" w14:paraId="415BB73D" w14:textId="77777777" w:rsidTr="00A54F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96A6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974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912FB83" w14:textId="77777777" w:rsidR="00AF670A" w:rsidRDefault="00AF670A" w:rsidP="00AF67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AF670A" w14:paraId="48A4CE9C" w14:textId="77777777" w:rsidTr="00A54FF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8CFC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86275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0436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6011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147C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AF670A" w14:paraId="5D1DD56B" w14:textId="77777777" w:rsidTr="00A54FFE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97104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F58A3A6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D22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AF670A" w14:paraId="6D1233E0" w14:textId="77777777" w:rsidTr="00A54FFE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C91626E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79F9C4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ABF1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314A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BDB9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AF670A" w14:paraId="5CDA81AD" w14:textId="77777777" w:rsidTr="00A54FFE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784B" w14:textId="517F4239" w:rsidR="00AF670A" w:rsidRPr="007C69CD" w:rsidRDefault="00AF670A" w:rsidP="00530677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AF670A" w14:paraId="340B77C7" w14:textId="77777777" w:rsidTr="00A54FF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BF09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3586996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7B7FC2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80C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312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3CC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CCF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F670A" w14:paraId="57E2367B" w14:textId="77777777" w:rsidTr="00A54FF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DA52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B23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544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C97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35B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F670A" w14:paraId="708205EE" w14:textId="77777777" w:rsidTr="00A54FF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02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65B41F5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  <w:p w14:paraId="4A235161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AFB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E9BB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003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E34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5D1F24F1" w14:textId="77777777" w:rsidR="00FE6C36" w:rsidRDefault="00FE6C36" w:rsidP="007B5D35">
      <w:pPr>
        <w:suppressAutoHyphens/>
        <w:rPr>
          <w:rFonts w:ascii="Arial" w:hAnsi="Arial" w:cs="Arial"/>
        </w:rPr>
      </w:pPr>
    </w:p>
    <w:sectPr w:rsidR="00FE6C36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1EFD4952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28 – version 07/09/2023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243CFF"/>
    <w:multiLevelType w:val="hybridMultilevel"/>
    <w:tmpl w:val="87008C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72F3E"/>
    <w:multiLevelType w:val="hybridMultilevel"/>
    <w:tmpl w:val="425C391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93A85"/>
    <w:multiLevelType w:val="hybridMultilevel"/>
    <w:tmpl w:val="62D040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40123">
    <w:abstractNumId w:val="11"/>
  </w:num>
  <w:num w:numId="2" w16cid:durableId="532807948">
    <w:abstractNumId w:val="15"/>
  </w:num>
  <w:num w:numId="3" w16cid:durableId="1625310538">
    <w:abstractNumId w:val="7"/>
  </w:num>
  <w:num w:numId="4" w16cid:durableId="803817271">
    <w:abstractNumId w:val="28"/>
  </w:num>
  <w:num w:numId="5" w16cid:durableId="1494443111">
    <w:abstractNumId w:val="20"/>
  </w:num>
  <w:num w:numId="6" w16cid:durableId="1301224494">
    <w:abstractNumId w:val="29"/>
  </w:num>
  <w:num w:numId="7" w16cid:durableId="1056782014">
    <w:abstractNumId w:val="26"/>
  </w:num>
  <w:num w:numId="8" w16cid:durableId="1981232028">
    <w:abstractNumId w:val="12"/>
  </w:num>
  <w:num w:numId="9" w16cid:durableId="275675786">
    <w:abstractNumId w:val="14"/>
  </w:num>
  <w:num w:numId="10" w16cid:durableId="442506691">
    <w:abstractNumId w:val="10"/>
  </w:num>
  <w:num w:numId="11" w16cid:durableId="1652364055">
    <w:abstractNumId w:val="21"/>
  </w:num>
  <w:num w:numId="12" w16cid:durableId="447704806">
    <w:abstractNumId w:val="9"/>
  </w:num>
  <w:num w:numId="13" w16cid:durableId="368917692">
    <w:abstractNumId w:val="24"/>
  </w:num>
  <w:num w:numId="14" w16cid:durableId="526985456">
    <w:abstractNumId w:val="0"/>
  </w:num>
  <w:num w:numId="15" w16cid:durableId="363487552">
    <w:abstractNumId w:val="4"/>
  </w:num>
  <w:num w:numId="16" w16cid:durableId="922566343">
    <w:abstractNumId w:val="13"/>
  </w:num>
  <w:num w:numId="17" w16cid:durableId="1551989129">
    <w:abstractNumId w:val="5"/>
  </w:num>
  <w:num w:numId="18" w16cid:durableId="1453986024">
    <w:abstractNumId w:val="19"/>
  </w:num>
  <w:num w:numId="19" w16cid:durableId="1747679159">
    <w:abstractNumId w:val="17"/>
  </w:num>
  <w:num w:numId="20" w16cid:durableId="1474984977">
    <w:abstractNumId w:val="23"/>
  </w:num>
  <w:num w:numId="21" w16cid:durableId="1529103964">
    <w:abstractNumId w:val="8"/>
  </w:num>
  <w:num w:numId="22" w16cid:durableId="740251307">
    <w:abstractNumId w:val="1"/>
  </w:num>
  <w:num w:numId="23" w16cid:durableId="1295336109">
    <w:abstractNumId w:val="25"/>
  </w:num>
  <w:num w:numId="24" w16cid:durableId="1627658999">
    <w:abstractNumId w:val="22"/>
  </w:num>
  <w:num w:numId="25" w16cid:durableId="372853468">
    <w:abstractNumId w:val="18"/>
  </w:num>
  <w:num w:numId="26" w16cid:durableId="1719234168">
    <w:abstractNumId w:val="33"/>
  </w:num>
  <w:num w:numId="27" w16cid:durableId="1959212310">
    <w:abstractNumId w:val="3"/>
  </w:num>
  <w:num w:numId="28" w16cid:durableId="1259482686">
    <w:abstractNumId w:val="30"/>
  </w:num>
  <w:num w:numId="29" w16cid:durableId="804814091">
    <w:abstractNumId w:val="16"/>
  </w:num>
  <w:num w:numId="30" w16cid:durableId="872378968">
    <w:abstractNumId w:val="27"/>
  </w:num>
  <w:num w:numId="31" w16cid:durableId="1408305310">
    <w:abstractNumId w:val="6"/>
  </w:num>
  <w:num w:numId="32" w16cid:durableId="1211110617">
    <w:abstractNumId w:val="31"/>
  </w:num>
  <w:num w:numId="33" w16cid:durableId="483741051">
    <w:abstractNumId w:val="2"/>
  </w:num>
  <w:num w:numId="34" w16cid:durableId="17793764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C676B"/>
    <w:rsid w:val="001F39DA"/>
    <w:rsid w:val="00210022"/>
    <w:rsid w:val="00223413"/>
    <w:rsid w:val="00237184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813DA"/>
    <w:rsid w:val="003A03ED"/>
    <w:rsid w:val="003B3939"/>
    <w:rsid w:val="003C3838"/>
    <w:rsid w:val="003D116C"/>
    <w:rsid w:val="003E3165"/>
    <w:rsid w:val="004015FA"/>
    <w:rsid w:val="00401F77"/>
    <w:rsid w:val="00402E88"/>
    <w:rsid w:val="00414FCC"/>
    <w:rsid w:val="00457E89"/>
    <w:rsid w:val="0048230E"/>
    <w:rsid w:val="004A2D03"/>
    <w:rsid w:val="004C36E0"/>
    <w:rsid w:val="00504567"/>
    <w:rsid w:val="00530677"/>
    <w:rsid w:val="00534D5A"/>
    <w:rsid w:val="00536DC0"/>
    <w:rsid w:val="00544BC5"/>
    <w:rsid w:val="00567D2C"/>
    <w:rsid w:val="005704AF"/>
    <w:rsid w:val="0059087A"/>
    <w:rsid w:val="00592AE8"/>
    <w:rsid w:val="005C3BD6"/>
    <w:rsid w:val="005C6544"/>
    <w:rsid w:val="00600EFB"/>
    <w:rsid w:val="00615702"/>
    <w:rsid w:val="00627E4E"/>
    <w:rsid w:val="00630350"/>
    <w:rsid w:val="00632745"/>
    <w:rsid w:val="00635099"/>
    <w:rsid w:val="006370E4"/>
    <w:rsid w:val="00660B36"/>
    <w:rsid w:val="00696F26"/>
    <w:rsid w:val="006A0DE6"/>
    <w:rsid w:val="006B203C"/>
    <w:rsid w:val="006C1A82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B5D35"/>
    <w:rsid w:val="007C69CD"/>
    <w:rsid w:val="007E3140"/>
    <w:rsid w:val="00807C89"/>
    <w:rsid w:val="00887452"/>
    <w:rsid w:val="00890C6A"/>
    <w:rsid w:val="008934F9"/>
    <w:rsid w:val="008947E9"/>
    <w:rsid w:val="008A20F2"/>
    <w:rsid w:val="008B335E"/>
    <w:rsid w:val="008B7D7E"/>
    <w:rsid w:val="008C4CE2"/>
    <w:rsid w:val="008C50E5"/>
    <w:rsid w:val="008E717A"/>
    <w:rsid w:val="008F2FCD"/>
    <w:rsid w:val="0093092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3555"/>
    <w:rsid w:val="00A948C4"/>
    <w:rsid w:val="00AD280D"/>
    <w:rsid w:val="00AF670A"/>
    <w:rsid w:val="00B065B6"/>
    <w:rsid w:val="00B26ABF"/>
    <w:rsid w:val="00B82E6E"/>
    <w:rsid w:val="00B834D5"/>
    <w:rsid w:val="00BA1ED1"/>
    <w:rsid w:val="00BC3C5F"/>
    <w:rsid w:val="00BE3FA1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85838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94417"/>
    <w:rsid w:val="00FB412D"/>
    <w:rsid w:val="00FD0D62"/>
    <w:rsid w:val="00FE129D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42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2023-10-22T14:02:00Z</dcterms:created>
  <dcterms:modified xsi:type="dcterms:W3CDTF">2023-10-22T14:05:00Z</dcterms:modified>
</cp:coreProperties>
</file>